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黑体" w:hAnsi="宋体" w:eastAsia="黑体" w:cs="黑体"/>
          <w:b w:val="0"/>
          <w:i w:val="0"/>
          <w:caps w:val="0"/>
          <w:color w:val="000000"/>
          <w:spacing w:val="0"/>
          <w:sz w:val="30"/>
          <w:szCs w:val="30"/>
          <w:bdr w:val="none" w:color="auto" w:sz="0" w:space="0"/>
          <w:shd w:val="clear" w:fill="FFFFFF"/>
        </w:rPr>
      </w:pPr>
      <w:r>
        <w:rPr>
          <w:rFonts w:hint="eastAsia" w:ascii="黑体" w:hAnsi="宋体" w:eastAsia="黑体" w:cs="黑体"/>
          <w:b w:val="0"/>
          <w:i w:val="0"/>
          <w:caps w:val="0"/>
          <w:color w:val="000000"/>
          <w:spacing w:val="0"/>
          <w:sz w:val="30"/>
          <w:szCs w:val="30"/>
          <w:bdr w:val="none" w:color="auto" w:sz="0" w:space="0"/>
          <w:shd w:val="clear" w:fill="FFFFFF"/>
        </w:rPr>
        <w:t>关于将国家自主创新示范区有关税收试点政策推广到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center"/>
        <w:rPr>
          <w:rFonts w:hint="eastAsia" w:ascii="黑体" w:hAnsi="宋体" w:eastAsia="黑体" w:cs="黑体"/>
          <w:b w:val="0"/>
          <w:i w:val="0"/>
          <w:caps w:val="0"/>
          <w:color w:val="000000"/>
          <w:spacing w:val="0"/>
          <w:sz w:val="30"/>
          <w:szCs w:val="30"/>
          <w:bdr w:val="none" w:color="auto" w:sz="0" w:space="0"/>
          <w:shd w:val="clear" w:fill="FFFFFF"/>
        </w:rPr>
      </w:pPr>
      <w:bookmarkStart w:id="0" w:name="_GoBack"/>
      <w:bookmarkEnd w:id="0"/>
      <w:r>
        <w:rPr>
          <w:rFonts w:hint="eastAsia" w:ascii="黑体" w:hAnsi="宋体" w:eastAsia="黑体" w:cs="黑体"/>
          <w:b w:val="0"/>
          <w:i w:val="0"/>
          <w:caps w:val="0"/>
          <w:color w:val="000000"/>
          <w:spacing w:val="0"/>
          <w:sz w:val="30"/>
          <w:szCs w:val="30"/>
          <w:bdr w:val="none" w:color="auto" w:sz="0" w:space="0"/>
          <w:shd w:val="clear" w:fill="FFFFFF"/>
        </w:rPr>
        <w:t>全国范围实施的通知</w:t>
      </w:r>
    </w:p>
    <w:p>
      <w:pPr>
        <w:jc w:val="center"/>
      </w:pPr>
      <w:r>
        <w:rPr>
          <w:rFonts w:hint="eastAsia" w:ascii="宋体" w:hAnsi="宋体" w:eastAsia="宋体" w:cs="宋体"/>
          <w:b w:val="0"/>
          <w:i w:val="0"/>
          <w:caps w:val="0"/>
          <w:color w:val="000000"/>
          <w:spacing w:val="0"/>
          <w:sz w:val="21"/>
          <w:szCs w:val="21"/>
          <w:shd w:val="clear" w:fill="FFFFFF"/>
        </w:rPr>
        <w:t>财税[2015]116号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378" w:lineRule="atLeast"/>
        <w:ind w:left="0" w:right="0" w:firstLine="0"/>
        <w:rPr>
          <w:rFonts w:hint="eastAsia" w:ascii="宋体" w:hAnsi="宋体" w:eastAsia="宋体" w:cs="宋体"/>
          <w:b w:val="0"/>
          <w:i w:val="0"/>
          <w:caps w:val="0"/>
          <w:color w:val="000000"/>
          <w:spacing w:val="0"/>
          <w:sz w:val="21"/>
          <w:szCs w:val="21"/>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378"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各省、自治区、直辖市、计划单列市财政厅（局）、国家</w:t>
      </w:r>
      <w:r>
        <w:rPr>
          <w:rFonts w:hint="eastAsia" w:ascii="宋体" w:hAnsi="宋体" w:eastAsia="宋体" w:cs="宋体"/>
          <w:b w:val="0"/>
          <w:i w:val="0"/>
          <w:caps w:val="0"/>
          <w:color w:val="485A90"/>
          <w:spacing w:val="0"/>
          <w:sz w:val="21"/>
          <w:szCs w:val="21"/>
          <w:u w:val="single"/>
          <w:bdr w:val="none" w:color="auto" w:sz="0" w:space="0"/>
          <w:shd w:val="clear" w:fill="FFFFFF"/>
        </w:rPr>
        <w:fldChar w:fldCharType="begin"/>
      </w:r>
      <w:r>
        <w:rPr>
          <w:rFonts w:hint="eastAsia" w:ascii="宋体" w:hAnsi="宋体" w:eastAsia="宋体" w:cs="宋体"/>
          <w:b w:val="0"/>
          <w:i w:val="0"/>
          <w:caps w:val="0"/>
          <w:color w:val="485A90"/>
          <w:spacing w:val="0"/>
          <w:sz w:val="21"/>
          <w:szCs w:val="21"/>
          <w:u w:val="single"/>
          <w:bdr w:val="none" w:color="auto" w:sz="0" w:space="0"/>
          <w:shd w:val="clear" w:fill="FFFFFF"/>
        </w:rPr>
        <w:instrText xml:space="preserve"> HYPERLINK "http://tax.hexun.com/" \t "http://news.hexun.com/2015-10-29/_blank" </w:instrText>
      </w:r>
      <w:r>
        <w:rPr>
          <w:rFonts w:hint="eastAsia" w:ascii="宋体" w:hAnsi="宋体" w:eastAsia="宋体" w:cs="宋体"/>
          <w:b w:val="0"/>
          <w:i w:val="0"/>
          <w:caps w:val="0"/>
          <w:color w:val="485A90"/>
          <w:spacing w:val="0"/>
          <w:sz w:val="21"/>
          <w:szCs w:val="21"/>
          <w:u w:val="single"/>
          <w:bdr w:val="none" w:color="auto" w:sz="0" w:space="0"/>
          <w:shd w:val="clear" w:fill="FFFFFF"/>
        </w:rPr>
        <w:fldChar w:fldCharType="separate"/>
      </w:r>
      <w:r>
        <w:rPr>
          <w:rStyle w:val="6"/>
          <w:rFonts w:hint="eastAsia" w:ascii="宋体" w:hAnsi="宋体" w:eastAsia="宋体" w:cs="宋体"/>
          <w:b w:val="0"/>
          <w:i w:val="0"/>
          <w:caps w:val="0"/>
          <w:color w:val="485A90"/>
          <w:spacing w:val="0"/>
          <w:sz w:val="21"/>
          <w:szCs w:val="21"/>
          <w:u w:val="single"/>
          <w:bdr w:val="none" w:color="auto" w:sz="0" w:space="0"/>
          <w:shd w:val="clear" w:fill="FFFFFF"/>
        </w:rPr>
        <w:t>税务</w:t>
      </w:r>
      <w:r>
        <w:rPr>
          <w:rFonts w:hint="eastAsia" w:ascii="宋体" w:hAnsi="宋体" w:eastAsia="宋体" w:cs="宋体"/>
          <w:b w:val="0"/>
          <w:i w:val="0"/>
          <w:caps w:val="0"/>
          <w:color w:val="485A90"/>
          <w:spacing w:val="0"/>
          <w:sz w:val="21"/>
          <w:szCs w:val="21"/>
          <w:u w:val="single"/>
          <w:bdr w:val="none" w:color="auto" w:sz="0" w:space="0"/>
          <w:shd w:val="clear" w:fill="FFFFFF"/>
        </w:rPr>
        <w:fldChar w:fldCharType="end"/>
      </w:r>
      <w:r>
        <w:rPr>
          <w:rFonts w:hint="eastAsia" w:ascii="宋体" w:hAnsi="宋体" w:eastAsia="宋体" w:cs="宋体"/>
          <w:b w:val="0"/>
          <w:i w:val="0"/>
          <w:caps w:val="0"/>
          <w:color w:val="000000"/>
          <w:spacing w:val="0"/>
          <w:sz w:val="21"/>
          <w:szCs w:val="21"/>
          <w:bdr w:val="none" w:color="auto" w:sz="0" w:space="0"/>
          <w:shd w:val="clear" w:fill="FFFFFF"/>
        </w:rPr>
        <w:t>局、地方税务局，</w:t>
      </w:r>
      <w:r>
        <w:rPr>
          <w:rFonts w:hint="eastAsia" w:ascii="宋体" w:hAnsi="宋体" w:eastAsia="宋体" w:cs="宋体"/>
          <w:b w:val="0"/>
          <w:i w:val="0"/>
          <w:caps w:val="0"/>
          <w:color w:val="485A90"/>
          <w:spacing w:val="0"/>
          <w:sz w:val="21"/>
          <w:szCs w:val="21"/>
          <w:u w:val="single"/>
          <w:bdr w:val="none" w:color="auto" w:sz="0" w:space="0"/>
          <w:shd w:val="clear" w:fill="FFFFFF"/>
        </w:rPr>
        <w:fldChar w:fldCharType="begin"/>
      </w:r>
      <w:r>
        <w:rPr>
          <w:rFonts w:hint="eastAsia" w:ascii="宋体" w:hAnsi="宋体" w:eastAsia="宋体" w:cs="宋体"/>
          <w:b w:val="0"/>
          <w:i w:val="0"/>
          <w:caps w:val="0"/>
          <w:color w:val="485A90"/>
          <w:spacing w:val="0"/>
          <w:sz w:val="21"/>
          <w:szCs w:val="21"/>
          <w:u w:val="single"/>
          <w:bdr w:val="none" w:color="auto" w:sz="0" w:space="0"/>
          <w:shd w:val="clear" w:fill="FFFFFF"/>
        </w:rPr>
        <w:instrText xml:space="preserve"> HYPERLINK "http://news.hexun.com/xinjiang/index.html" \t "http://news.hexun.com/2015-10-29/_blank" </w:instrText>
      </w:r>
      <w:r>
        <w:rPr>
          <w:rFonts w:hint="eastAsia" w:ascii="宋体" w:hAnsi="宋体" w:eastAsia="宋体" w:cs="宋体"/>
          <w:b w:val="0"/>
          <w:i w:val="0"/>
          <w:caps w:val="0"/>
          <w:color w:val="485A90"/>
          <w:spacing w:val="0"/>
          <w:sz w:val="21"/>
          <w:szCs w:val="21"/>
          <w:u w:val="single"/>
          <w:bdr w:val="none" w:color="auto" w:sz="0" w:space="0"/>
          <w:shd w:val="clear" w:fill="FFFFFF"/>
        </w:rPr>
        <w:fldChar w:fldCharType="separate"/>
      </w:r>
      <w:r>
        <w:rPr>
          <w:rStyle w:val="6"/>
          <w:rFonts w:hint="eastAsia" w:ascii="宋体" w:hAnsi="宋体" w:eastAsia="宋体" w:cs="宋体"/>
          <w:b w:val="0"/>
          <w:i w:val="0"/>
          <w:caps w:val="0"/>
          <w:color w:val="485A90"/>
          <w:spacing w:val="0"/>
          <w:sz w:val="21"/>
          <w:szCs w:val="21"/>
          <w:u w:val="single"/>
          <w:bdr w:val="none" w:color="auto" w:sz="0" w:space="0"/>
          <w:shd w:val="clear" w:fill="FFFFFF"/>
        </w:rPr>
        <w:t>新疆</w:t>
      </w:r>
      <w:r>
        <w:rPr>
          <w:rFonts w:hint="eastAsia" w:ascii="宋体" w:hAnsi="宋体" w:eastAsia="宋体" w:cs="宋体"/>
          <w:b w:val="0"/>
          <w:i w:val="0"/>
          <w:caps w:val="0"/>
          <w:color w:val="485A90"/>
          <w:spacing w:val="0"/>
          <w:sz w:val="21"/>
          <w:szCs w:val="21"/>
          <w:u w:val="single"/>
          <w:bdr w:val="none" w:color="auto" w:sz="0" w:space="0"/>
          <w:shd w:val="clear" w:fill="FFFFFF"/>
        </w:rPr>
        <w:fldChar w:fldCharType="end"/>
      </w:r>
      <w:r>
        <w:rPr>
          <w:rFonts w:hint="eastAsia" w:ascii="宋体" w:hAnsi="宋体" w:eastAsia="宋体" w:cs="宋体"/>
          <w:b w:val="0"/>
          <w:i w:val="0"/>
          <w:caps w:val="0"/>
          <w:color w:val="000000"/>
          <w:spacing w:val="0"/>
          <w:sz w:val="21"/>
          <w:szCs w:val="21"/>
          <w:bdr w:val="none" w:color="auto" w:sz="0" w:space="0"/>
          <w:shd w:val="clear" w:fill="FFFFFF"/>
        </w:rPr>
        <w:t>生产建设兵团财务局：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378"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根据国务院常务会议决定精神，将国家自主创新示范区试点的四项所得税政策推广至全国范围实施。现就有关税收政策问题明确如下：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378"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Style w:val="5"/>
          <w:rFonts w:hint="eastAsia" w:ascii="宋体" w:hAnsi="宋体" w:eastAsia="宋体" w:cs="宋体"/>
          <w:i w:val="0"/>
          <w:caps w:val="0"/>
          <w:color w:val="000000"/>
          <w:spacing w:val="0"/>
          <w:sz w:val="21"/>
          <w:szCs w:val="21"/>
          <w:bdr w:val="none" w:color="auto" w:sz="0" w:space="0"/>
          <w:shd w:val="clear" w:fill="FFFFFF"/>
        </w:rPr>
        <w:t>一、关于有限合伙制创业投资企业法人合伙人企业所得税政策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378"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1.自2015年10月1日起，全国范围内的有限合伙制创业投资企业采取股权投资方式投资于未上市的中小高新技术企业满2年（24个月）的，该有限合伙制创业投资企业的法人合伙人可按照其对未上市中小高新技术企业投资额的70%抵扣该法人合伙人从该有限合伙制创业投资企业分得的应纳税所得额，当年不足抵扣的，可以在以后纳税年度结转抵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378"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2.有限合伙制创业投资企业的法人合伙人对未上市中小高新技术企业的投资额，按照有限合伙制创业投资企业对中小高新技术企业的投资额和合伙协议约定的法人合伙人占有限合伙制创业投资企业的出资比例计算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378"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Style w:val="5"/>
          <w:rFonts w:hint="eastAsia" w:ascii="宋体" w:hAnsi="宋体" w:eastAsia="宋体" w:cs="宋体"/>
          <w:i w:val="0"/>
          <w:caps w:val="0"/>
          <w:color w:val="000000"/>
          <w:spacing w:val="0"/>
          <w:sz w:val="21"/>
          <w:szCs w:val="21"/>
          <w:bdr w:val="none" w:color="auto" w:sz="0" w:space="0"/>
          <w:shd w:val="clear" w:fill="FFFFFF"/>
        </w:rPr>
        <w:t>二、关于技术转让所得企业所得税政策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378"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1.自2015年10月1日起，全国范围内的居民企业转让5年以上非独占许可使用权取得的技术转让所得，纳入享受企业所得税优惠的技术转让所得范围。居民企业的年度技术转让所得不超过500万元的部分，免征企业所得税；超过500万元的部分，减半征收企业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378"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2.本通知所称技术，包括专利（含国防专利）、计算机软件著作权、集成电路布图设计专有权、植物新品种权、</w:t>
      </w:r>
      <w:r>
        <w:rPr>
          <w:rFonts w:hint="eastAsia" w:ascii="宋体" w:hAnsi="宋体" w:eastAsia="宋体" w:cs="宋体"/>
          <w:b w:val="0"/>
          <w:i w:val="0"/>
          <w:caps w:val="0"/>
          <w:color w:val="485A90"/>
          <w:spacing w:val="0"/>
          <w:sz w:val="21"/>
          <w:szCs w:val="21"/>
          <w:u w:val="single"/>
          <w:bdr w:val="none" w:color="auto" w:sz="0" w:space="0"/>
          <w:shd w:val="clear" w:fill="FFFFFF"/>
        </w:rPr>
        <w:fldChar w:fldCharType="begin"/>
      </w:r>
      <w:r>
        <w:rPr>
          <w:rFonts w:hint="eastAsia" w:ascii="宋体" w:hAnsi="宋体" w:eastAsia="宋体" w:cs="宋体"/>
          <w:b w:val="0"/>
          <w:i w:val="0"/>
          <w:caps w:val="0"/>
          <w:color w:val="485A90"/>
          <w:spacing w:val="0"/>
          <w:sz w:val="21"/>
          <w:szCs w:val="21"/>
          <w:u w:val="single"/>
          <w:bdr w:val="none" w:color="auto" w:sz="0" w:space="0"/>
          <w:shd w:val="clear" w:fill="FFFFFF"/>
        </w:rPr>
        <w:instrText xml:space="preserve"> HYPERLINK "http://jingzhi.funds.hexun.com/161726.shtml" \t "http://news.hexun.com/2015-10-29/_blank" </w:instrText>
      </w:r>
      <w:r>
        <w:rPr>
          <w:rFonts w:hint="eastAsia" w:ascii="宋体" w:hAnsi="宋体" w:eastAsia="宋体" w:cs="宋体"/>
          <w:b w:val="0"/>
          <w:i w:val="0"/>
          <w:caps w:val="0"/>
          <w:color w:val="485A90"/>
          <w:spacing w:val="0"/>
          <w:sz w:val="21"/>
          <w:szCs w:val="21"/>
          <w:u w:val="single"/>
          <w:bdr w:val="none" w:color="auto" w:sz="0" w:space="0"/>
          <w:shd w:val="clear" w:fill="FFFFFF"/>
        </w:rPr>
        <w:fldChar w:fldCharType="separate"/>
      </w:r>
      <w:r>
        <w:rPr>
          <w:rStyle w:val="6"/>
          <w:rFonts w:hint="eastAsia" w:ascii="宋体" w:hAnsi="宋体" w:eastAsia="宋体" w:cs="宋体"/>
          <w:b w:val="0"/>
          <w:i w:val="0"/>
          <w:caps w:val="0"/>
          <w:color w:val="485A90"/>
          <w:spacing w:val="0"/>
          <w:sz w:val="21"/>
          <w:szCs w:val="21"/>
          <w:u w:val="single"/>
          <w:bdr w:val="none" w:color="auto" w:sz="0" w:space="0"/>
          <w:shd w:val="clear" w:fill="FFFFFF"/>
        </w:rPr>
        <w:t>生物医药</w:t>
      </w:r>
      <w:r>
        <w:rPr>
          <w:rFonts w:hint="eastAsia" w:ascii="宋体" w:hAnsi="宋体" w:eastAsia="宋体" w:cs="宋体"/>
          <w:b w:val="0"/>
          <w:i w:val="0"/>
          <w:caps w:val="0"/>
          <w:color w:val="485A90"/>
          <w:spacing w:val="0"/>
          <w:sz w:val="21"/>
          <w:szCs w:val="21"/>
          <w:u w:val="single"/>
          <w:bdr w:val="none" w:color="auto" w:sz="0" w:space="0"/>
          <w:shd w:val="clear" w:fill="FFFFFF"/>
        </w:rPr>
        <w:fldChar w:fldCharType="end"/>
      </w:r>
      <w:r>
        <w:rPr>
          <w:rFonts w:hint="eastAsia" w:ascii="宋体" w:hAnsi="宋体" w:eastAsia="宋体" w:cs="宋体"/>
          <w:b w:val="0"/>
          <w:i w:val="0"/>
          <w:caps w:val="0"/>
          <w:color w:val="000000"/>
          <w:spacing w:val="0"/>
          <w:sz w:val="21"/>
          <w:szCs w:val="21"/>
          <w:bdr w:val="none" w:color="auto" w:sz="0" w:space="0"/>
          <w:shd w:val="clear" w:fill="FFFFFF"/>
        </w:rPr>
        <w:t>新品种，以及财政部和国家税务总局确定的其他技术。其中，专利是指</w:t>
      </w:r>
      <w:r>
        <w:rPr>
          <w:rFonts w:hint="eastAsia" w:ascii="宋体" w:hAnsi="宋体" w:eastAsia="宋体" w:cs="宋体"/>
          <w:b w:val="0"/>
          <w:i w:val="0"/>
          <w:caps w:val="0"/>
          <w:color w:val="485A90"/>
          <w:spacing w:val="0"/>
          <w:sz w:val="21"/>
          <w:szCs w:val="21"/>
          <w:u w:val="single"/>
          <w:bdr w:val="none" w:color="auto" w:sz="0" w:space="0"/>
          <w:shd w:val="clear" w:fill="FFFFFF"/>
        </w:rPr>
        <w:fldChar w:fldCharType="begin"/>
      </w:r>
      <w:r>
        <w:rPr>
          <w:rFonts w:hint="eastAsia" w:ascii="宋体" w:hAnsi="宋体" w:eastAsia="宋体" w:cs="宋体"/>
          <w:b w:val="0"/>
          <w:i w:val="0"/>
          <w:caps w:val="0"/>
          <w:color w:val="485A90"/>
          <w:spacing w:val="0"/>
          <w:sz w:val="21"/>
          <w:szCs w:val="21"/>
          <w:u w:val="single"/>
          <w:bdr w:val="none" w:color="auto" w:sz="0" w:space="0"/>
          <w:shd w:val="clear" w:fill="FFFFFF"/>
        </w:rPr>
        <w:instrText xml:space="preserve"> HYPERLINK "http://law.hexun.com/" \t "http://news.hexun.com/2015-10-29/_blank" </w:instrText>
      </w:r>
      <w:r>
        <w:rPr>
          <w:rFonts w:hint="eastAsia" w:ascii="宋体" w:hAnsi="宋体" w:eastAsia="宋体" w:cs="宋体"/>
          <w:b w:val="0"/>
          <w:i w:val="0"/>
          <w:caps w:val="0"/>
          <w:color w:val="485A90"/>
          <w:spacing w:val="0"/>
          <w:sz w:val="21"/>
          <w:szCs w:val="21"/>
          <w:u w:val="single"/>
          <w:bdr w:val="none" w:color="auto" w:sz="0" w:space="0"/>
          <w:shd w:val="clear" w:fill="FFFFFF"/>
        </w:rPr>
        <w:fldChar w:fldCharType="separate"/>
      </w:r>
      <w:r>
        <w:rPr>
          <w:rStyle w:val="6"/>
          <w:rFonts w:hint="eastAsia" w:ascii="宋体" w:hAnsi="宋体" w:eastAsia="宋体" w:cs="宋体"/>
          <w:b w:val="0"/>
          <w:i w:val="0"/>
          <w:caps w:val="0"/>
          <w:color w:val="485A90"/>
          <w:spacing w:val="0"/>
          <w:sz w:val="21"/>
          <w:szCs w:val="21"/>
          <w:u w:val="single"/>
          <w:bdr w:val="none" w:color="auto" w:sz="0" w:space="0"/>
          <w:shd w:val="clear" w:fill="FFFFFF"/>
        </w:rPr>
        <w:t>法律</w:t>
      </w:r>
      <w:r>
        <w:rPr>
          <w:rFonts w:hint="eastAsia" w:ascii="宋体" w:hAnsi="宋体" w:eastAsia="宋体" w:cs="宋体"/>
          <w:b w:val="0"/>
          <w:i w:val="0"/>
          <w:caps w:val="0"/>
          <w:color w:val="485A90"/>
          <w:spacing w:val="0"/>
          <w:sz w:val="21"/>
          <w:szCs w:val="21"/>
          <w:u w:val="single"/>
          <w:bdr w:val="none" w:color="auto" w:sz="0" w:space="0"/>
          <w:shd w:val="clear" w:fill="FFFFFF"/>
        </w:rPr>
        <w:fldChar w:fldCharType="end"/>
      </w:r>
      <w:r>
        <w:rPr>
          <w:rFonts w:hint="eastAsia" w:ascii="宋体" w:hAnsi="宋体" w:eastAsia="宋体" w:cs="宋体"/>
          <w:b w:val="0"/>
          <w:i w:val="0"/>
          <w:caps w:val="0"/>
          <w:color w:val="000000"/>
          <w:spacing w:val="0"/>
          <w:sz w:val="21"/>
          <w:szCs w:val="21"/>
          <w:bdr w:val="none" w:color="auto" w:sz="0" w:space="0"/>
          <w:shd w:val="clear" w:fill="FFFFFF"/>
        </w:rPr>
        <w:t>授予独占权的发明、实用新型以及非简单改变产品图案和形状的外观设计。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378"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Style w:val="5"/>
          <w:rFonts w:hint="eastAsia" w:ascii="宋体" w:hAnsi="宋体" w:eastAsia="宋体" w:cs="宋体"/>
          <w:i w:val="0"/>
          <w:caps w:val="0"/>
          <w:color w:val="000000"/>
          <w:spacing w:val="0"/>
          <w:sz w:val="21"/>
          <w:szCs w:val="21"/>
          <w:bdr w:val="none" w:color="auto" w:sz="0" w:space="0"/>
          <w:shd w:val="clear" w:fill="FFFFFF"/>
        </w:rPr>
        <w:t>三、关于企业转增股本个人所得税政策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378"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1.自2016年1月1日起，全国范围内的中小高新技术企业以未分配利润、盈余公积、资本公积向个人股东转增股本时，个人股东一次缴纳个人所得税确有困难的，可根据实际情况自行制定分期缴税计划，在不超过5个公历年度内（含）分期缴纳，并将有关资料报主管税务机关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378"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2.个人股东获得转增的股本，应按照“利息、股息、红利所得”项目，适用20%税率征收个人所得税。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378"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3.股东转让股权并取得现金收入的，该现金收入应优先用于缴纳尚未缴清的税款。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378"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4.在股东转让该部分股权之前，企业依法宣告破产，股东进行相关权益处置后没有取得收益或收益小于初始投资额的，主管税务机关对其尚未缴纳的个人所得税可不予追征。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378"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5.本通知所称中小高新技术企业，是指注册在中国境内实行查账征收的、经认定取得高新技术企业资格，且年销售额和资产总额均不超过2亿元、从业人数不超过500人的企业。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378"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6.上市中小高新技术企业或在全国中小企业股份转让系统挂牌的中小高新技术企业向个人股东转增股本，股东应纳的个人所得税，继续按照现行有关股息红利差别化个人所得税政策执行，不适用本通知规定的分期纳税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378"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Style w:val="5"/>
          <w:rFonts w:hint="eastAsia" w:ascii="宋体" w:hAnsi="宋体" w:eastAsia="宋体" w:cs="宋体"/>
          <w:i w:val="0"/>
          <w:caps w:val="0"/>
          <w:color w:val="000000"/>
          <w:spacing w:val="0"/>
          <w:sz w:val="21"/>
          <w:szCs w:val="21"/>
          <w:bdr w:val="none" w:color="auto" w:sz="0" w:space="0"/>
          <w:shd w:val="clear" w:fill="FFFFFF"/>
        </w:rPr>
        <w:t>四、关于股权奖励个人所得税政策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378"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1.自2016年1月1日起，全国范围内的高新技术企业转化科技成果，给予本企业相关技术人员的股权奖励，个人一次缴纳税款有困难的，可根据实际情况自行制定分期缴税计划，在不超过5个公历年度内（含）分期缴纳，并将有关资料报主管税务机关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378"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2.个人获得股权奖励时，按照“工资薪金所得”项目，参照《财政部 国家税务总局关于个人股票期权所得征收个人所得税问题的通知》（财税〔2005〕35号）有关规定计算确定应纳税额。股权奖励的计税价格参照获得股权时的公平市场价格确定。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378"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3.技术人员转让奖励的股权（含奖励股权孳生的送、转股）并取得现金收入的，该现金收入应优先用于缴纳尚未缴清的税款。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378"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4.技术人员在转让奖励的股权之前企业依法宣告破产，技术人员进行相关权益处置后没有取得收益或资产，或取得的收益和资产不足以缴纳其取得股权尚未缴纳的应纳税款的部分，税务机关可不予追征。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378"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5.本通知所称相关技术人员，是指经公司董事会和股东大会决议批准获得股权奖励的以下两类人员：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378"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（1）对企业科技成果研发和产业化作出突出贡献的技术人员，包括企业内关键职务科技成果的主要完成人、重大开发项目的负责人、对主导产品或者核心技术、工艺流程作出重大创新或者改进的主要技术人员。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378"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2）对企业发展作出突出贡献的经营管理人员，包括主持企业全面生产经营工作的高级管理人员，负责企业主要产品（服务）生产经营合计占主营业务收入（或者主营业务利润）50%以上的中、高级经营管理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378"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企业面向全体员工实施的股权奖励，不得按本通知规定的税收政策执行。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378"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6.本通知所称股权奖励，是指企业无偿授予相关技术人员一定份额的股权或一定数量的股份。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378"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7.本通知所称高新技术企业，是指实行查账征收、经省级高新技术企业认定管理机构认定的高新技术企业。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80" w:afterAutospacing="0" w:line="378" w:lineRule="atLeast"/>
        <w:ind w:left="0" w:right="0" w:firstLine="0"/>
        <w:jc w:val="right"/>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财政部　国家税务总局</w:t>
      </w:r>
    </w:p>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黑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8249FD"/>
    <w:rsid w:val="368249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2016-03-14T06:50:00Z</dcterms:created>
  <dc:creator>22457</dc:creator>
  <cp:lastModifiedBy>22457</cp:lastModifiedBy>
  <dcterms:modified xsi:type="dcterms:W3CDTF">2016-03-14T06:55:35Z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